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29"/>
    <w:p>
      <w:pPr>
        <w:pStyle w:val="Heading1"/>
      </w:pPr>
      <w:r>
        <w:t xml:space="preserve">Homiletics Analysis: Deuteronomy 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a Larger Unit:</w:t>
      </w:r>
      <w:r>
        <w:t xml:space="preserve"> </w:t>
      </w:r>
      <w:r>
        <w:t xml:space="preserve">Deuteronomy 29 does not stand alone. It opens the third and final major address of Moses (chapters 29–30), which itself functions as the covenant renewal speech delivered on the plains of Moab — the climactic moment of the entire book. Deuteronomy as a whole is structured as an ancient Near Eastern suzerainty treaty, with chapters 1–26 laying out the covenant’s historical prologue, stipulations, and blessings/curses. Chapters 27–28 formally ratified the sanctions. Now chapters 29–30 constitute the covenant’s formal appeal and summons: Moses calls Israel to enter the covenant with open eyes, knowing full well the terms and the stakes. Within this broader unit, chapter 29 carries the burden of diagnosis — exposing the problem of Israel’s spiritual dullness, cataloguing what God has done, and setting the covenant’s terms with unflinching clarity before chapter 30 opens the door of hope.</w:t>
      </w:r>
    </w:p>
    <w:p>
      <w:pPr>
        <w:pStyle w:val="BodyText"/>
      </w:pPr>
      <w:r>
        <w:rPr>
          <w:b/>
          <w:bCs/>
        </w:rPr>
        <w:t xml:space="preserve">This Text — Content:</w:t>
      </w:r>
      <w:r>
        <w:t xml:space="preserve"> </w:t>
      </w:r>
      <w:r>
        <w:t xml:space="preserve">Moses begins by anchoring Israel’s covenant identity in historical reality: the covenant being renewed at Moab stands alongside (not in place of) the Sinai covenant (v. 1). He rehearses the Exodus and wilderness narratives not as nostalgia but as evidence — God has acted, Israel has seen, and yet Israel has not understood (vv. 2–9). The assembly is gathered in its full breadth — officials, elders, every man, woman, child, and foreign resident — to enter by sworn oath into the covenant (vv. 10–15). Moses then turns to warning: Israel has seen the abominations of Egypt and the nations along the way (vv. 16–17), and the greatest danger is not external enemies but the person or group within the community who nurses idolatrous desire while assuming covenant protection (vv. 18–21). The consequences of such self-deception are catastrophic, visible to future generations and surrounding nations as evidence of what covenant-breaking brings (vv. 22–28). The chapter closes with one of the most compressed and freighted statements in the entire Torah:</w:t>
      </w:r>
      <w:r>
        <w:t xml:space="preserve"> </w:t>
      </w:r>
      <w:r>
        <w:t xml:space="preserve">“The secret things belong to the LORD our God, but the things that are revealed belong to us and to our children forever, that we may do all the words of this law”</w:t>
      </w:r>
      <w:r>
        <w:t xml:space="preserve"> </w:t>
      </w:r>
      <w:r>
        <w:t xml:space="preserve">(v. 29).</w:t>
      </w:r>
    </w:p>
    <w:p>
      <w:pPr>
        <w:pStyle w:val="BodyText"/>
      </w:pPr>
      <w:r>
        <w:rPr>
          <w:b/>
          <w:bCs/>
        </w:rPr>
        <w:t xml:space="preserve">This Text — Intent:</w:t>
      </w:r>
      <w:r>
        <w:t xml:space="preserve"> </w:t>
      </w:r>
      <w:r>
        <w:t xml:space="preserve">God is seeking to produce in Israel — and through the text, in every subsequent covenant community — a clear-eyed, self-examining sobriety about the danger of spiritual dullness combined with presumptuous covenant assumption. The chapter is a sustained confrontation:</w:t>
      </w:r>
      <w:r>
        <w:t xml:space="preserve"> </w:t>
      </w:r>
      <w:r>
        <w:rPr>
          <w:i/>
          <w:iCs/>
        </w:rPr>
        <w:t xml:space="preserve">You have seen, and you have not understood.</w:t>
      </w:r>
      <w:r>
        <w:t xml:space="preserve"> </w:t>
      </w:r>
      <w:r>
        <w:t xml:space="preserve">The intent is not to drive Israel to despair but to strip away every false security so that genuine covenant faithfulness becomes the only remaining option. Verse 29 particularly aims to settle the question of human curiosity about what God has not revealed while simultaneously pressing the responsibility of what He has revealed. The reader is meant to leave this chapter with no hiding place — neither behind ignorance (</w:t>
      </w:r>
      <w:r>
        <w:t xml:space="preserve">“we didn’t know”</w:t>
      </w:r>
      <w:r>
        <w:t xml:space="preserve">), nor behind false covenant confidence (</w:t>
      </w:r>
      <w:r>
        <w:t xml:space="preserve">“we are God’s people, therefore we are safe”</w:t>
      </w:r>
      <w:r>
        <w:t xml:space="preserve">), nor behind unanswerable questions about divine sovereignty. The plain things are ours; the responsibility is ours; the claim is urgent.</w:t>
      </w:r>
    </w:p>
    <w:p>
      <w:r>
        <w:pict>
          <v:rect style="width:0;height:1.5pt" o:hralign="center" o:hrstd="t" o:hr="t"/>
        </w:pict>
      </w:r>
    </w:p>
    <w:p>
      <w:pPr>
        <w:pStyle w:val="FirstParagraph"/>
      </w:pPr>
      <w:r>
        <w:rPr>
          <w:b/>
          <w:bCs/>
        </w:rPr>
        <w:t xml:space="preserve">Subject Sentence:</w:t>
      </w:r>
      <w:r>
        <w:t xml:space="preserve"> </w:t>
      </w:r>
      <w:r>
        <w:t xml:space="preserve">Covenant renewal demands clear-eyed recognition of God’s acts, personal accountability, and the sufficiency of what He has revealed.</w:t>
      </w:r>
    </w:p>
    <w:p>
      <w:r>
        <w:pict>
          <v:rect style="width:0;height:1.5pt" o:hralign="center" o:hrstd="t" o:hr="t"/>
        </w:pict>
      </w:r>
    </w:p>
    <w:p>
      <w:pPr>
        <w:pStyle w:val="FirstParagraph"/>
      </w:pPr>
      <w:r>
        <w:rPr>
          <w:b/>
          <w:bCs/>
        </w:rPr>
        <w:t xml:space="preserve">Primary Claim:</w:t>
      </w:r>
      <w:r>
        <w:t xml:space="preserve"> </w:t>
      </w:r>
      <w:r>
        <w:t xml:space="preserve">God calls His covenant people to enter His covenant with eyes fully open — seeing what He has done, examining what they harbor within, and resting their obedience on what He has plainly revealed rather than hiding behind spiritual dullness or presumptuous assumptions of safety.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spiritual dullness of verses 2–9 — divine sovereignty or human responsibility?</w:t>
      </w:r>
      <w:r>
        <w:t xml:space="preserve"> </w:t>
      </w:r>
      <w:r>
        <w:t xml:space="preserve">A recurring tension in this passage concerns Moses’s statement that</w:t>
      </w:r>
      <w:r>
        <w:t xml:space="preserve"> </w:t>
      </w:r>
      <w:r>
        <w:t xml:space="preserve">“the LORD has not given you a heart to understand or eyes to see or ears to hear”</w:t>
      </w:r>
      <w:r>
        <w:t xml:space="preserve"> </w:t>
      </w:r>
      <w:r>
        <w:t xml:space="preserve">(v. 4). Some Arminian/Wesleyan readers have softened this considerably, treating it as a description of Israel’s</w:t>
      </w:r>
      <w:r>
        <w:t xml:space="preserve"> </w:t>
      </w:r>
      <w:r>
        <w:rPr>
          <w:i/>
          <w:iCs/>
        </w:rPr>
        <w:t xml:space="preserve">chosen</w:t>
      </w:r>
      <w:r>
        <w:t xml:space="preserve"> </w:t>
      </w:r>
      <w:r>
        <w:t xml:space="preserve">failure to respond rather than a divine withholding — essentially reading v. 4 as rhetorical:</w:t>
      </w:r>
      <w:r>
        <w:t xml:space="preserve"> </w:t>
      </w:r>
      <w:r>
        <w:rPr>
          <w:i/>
          <w:iCs/>
        </w:rPr>
        <w:t xml:space="preserve">you have not used the faculties God gave you.</w:t>
      </w:r>
      <w:r>
        <w:t xml:space="preserve"> </w:t>
      </w:r>
      <w:r>
        <w:t xml:space="preserve">Lutheran interpreters have tended to read this primarily through a Law/Gospel lens, with vv. 2–9 functioning as Law — exposing inability so that grace can address it — which is a genuinely illuminating read but one that risks flattening the passage’s own covenantal texture. The Reformed reading is best here: verse 4 is not a complete statement of divine determinism in isolation, but it is genuinely asserting that spiritual perception is a divine gift, not a human achievement. Paul cites this exact verse in Romans 11:8 as evidence of God’s sovereign administration of spiritual understanding. The Reformed reading holds both realities in tension — Israel is fully responsible for their failure to respond (the indictments of Exodus and Deuteronomy are unambiguous), and spiritual perception is finally a divine gift. Neither pole is surrendered. This is not a contradiction to resolve but a covenantal tension to inhabit.</w:t>
      </w:r>
    </w:p>
    <w:p>
      <w:pPr>
        <w:pStyle w:val="BodyText"/>
      </w:pPr>
      <w:r>
        <w:rPr>
          <w:b/>
          <w:bCs/>
        </w:rPr>
        <w:t xml:space="preserve">Verses 18–21 and the warning against presumptuous sinners — does this threaten the security of genuine believers?</w:t>
      </w:r>
      <w:r>
        <w:t xml:space="preserve"> </w:t>
      </w:r>
      <w:r>
        <w:t xml:space="preserve">Some Arminian interpreters read vv. 18–21 as a live warning to true covenant members that they can sever themselves from covenant blessing through persistent idolatry — effectively reading this as a statement that salvation can be lost. Dispensational interpreters have sometimes treated this section as exclusively addressed to Israel as a national entity, limiting its applicability to the church. The Reformed reading is more careful and more satisfying: the person described in v. 18 —</w:t>
      </w:r>
      <w:r>
        <w:t xml:space="preserve"> </w:t>
      </w:r>
      <w:r>
        <w:t xml:space="preserve">“one who, when he hears the words of this sworn covenant, blesses himself in his heart, saying</w:t>
      </w:r>
      <w:r>
        <w:t xml:space="preserve"> </w:t>
      </w:r>
      <w:r>
        <w:t xml:space="preserve">‘I shall be safe, though I walk in the stubbornness of my heart’</w:t>
      </w:r>
      <w:r>
        <w:t xml:space="preserve">”</w:t>
      </w:r>
      <w:r>
        <w:t xml:space="preserve"> </w:t>
      </w:r>
      <w:r>
        <w:t xml:space="preserve">— is precisely the false covenant-member, not the genuinely regenerate believer. This is the category of person who presumes upon covenant membership without genuine covenant allegiance. The warning is real and urgent, but it functions as a diagnostic rather than a threat to true believers: it calls the community (and individuals) to examine whether their confidence is genuine or presumptuous. The Wesleyan emphasis on the seriousness of the warning is worth retaining even where its conclusion about the security of the believer is not adopted.</w:t>
      </w:r>
    </w:p>
    <w:p>
      <w:pPr>
        <w:pStyle w:val="BodyText"/>
      </w:pPr>
      <w:r>
        <w:rPr>
          <w:b/>
          <w:bCs/>
        </w:rPr>
        <w:t xml:space="preserve">Verse 29 —</w:t>
      </w:r>
      <w:r>
        <w:rPr>
          <w:b/>
          <w:bCs/>
        </w:rPr>
        <w:t xml:space="preserve"> </w:t>
      </w:r>
      <w:r>
        <w:rPr>
          <w:b/>
          <w:bCs/>
        </w:rPr>
        <w:t xml:space="preserve">“The secret things belong to the LORD”</w:t>
      </w:r>
      <w:r>
        <w:rPr>
          <w:b/>
          <w:bCs/>
        </w:rPr>
        <w:t xml:space="preserve">:</w:t>
      </w:r>
      <w:r>
        <w:t xml:space="preserve"> </w:t>
      </w:r>
      <w:r>
        <w:t xml:space="preserve">This verse has been subject to significant misuse, particularly as a conversation-stopper whenever hard theological questions arise. Charismatic and Pentecostal interpreters have sometimes read</w:t>
      </w:r>
      <w:r>
        <w:t xml:space="preserve"> </w:t>
      </w:r>
      <w:r>
        <w:t xml:space="preserve">“secret things”</w:t>
      </w:r>
      <w:r>
        <w:t xml:space="preserve"> </w:t>
      </w:r>
      <w:r>
        <w:t xml:space="preserve">as referring specifically to prophetic revelation not yet given — treating v. 29 as an implicit warrant for ongoing revelation. This is not the text’s own concern. The context is specific: Moses is addressing Israel’s likely temptation to speculate about why God has designed history as He has, why the covenant curses fall as they do, what God’s ultimate purposes are for the nations. The</w:t>
      </w:r>
      <w:r>
        <w:t xml:space="preserve"> </w:t>
      </w:r>
      <w:r>
        <w:t xml:space="preserve">“secret things”</w:t>
      </w:r>
      <w:r>
        <w:t xml:space="preserve"> </w:t>
      </w:r>
      <w:r>
        <w:t xml:space="preserve">are not a blank category but the hidden counsels of God’s providential will. The</w:t>
      </w:r>
      <w:r>
        <w:t xml:space="preserve"> </w:t>
      </w:r>
      <w:r>
        <w:t xml:space="preserve">“revealed things”</w:t>
      </w:r>
      <w:r>
        <w:t xml:space="preserve"> </w:t>
      </w:r>
      <w:r>
        <w:t xml:space="preserve">are not a general category of accessible truth but specifically</w:t>
      </w:r>
      <w:r>
        <w:t xml:space="preserve"> </w:t>
      </w:r>
      <w:r>
        <w:t xml:space="preserve">“the words of this law”</w:t>
      </w:r>
      <w:r>
        <w:t xml:space="preserve"> </w:t>
      </w:r>
      <w:r>
        <w:t xml:space="preserve">— Torah — what God has plainly commanded. The verse is a call to redirect from unanswerable speculation to answerable obedience. The Reformed reading rightly sees v. 29 as a statement about the sufficiency and bindingness of Scripture’s plain claims, not a warrant for ongoing extra-canonical revelation.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11:7–8</w:t>
      </w:r>
      <w:r>
        <w:t xml:space="preserve"> </w:t>
      </w:r>
      <w:r>
        <w:t xml:space="preserve">— Paul quotes Deuteronomy 29:4 directly in his argument about Israel’s hardening, confirming that spiritual dullness is not merely a historical failure of Israel but a pattern in God’s sovereign administration of understanding across the ages. This passage grounds the Reformed reading of v. 4.</w:t>
      </w:r>
    </w:p>
    <w:p>
      <w:pPr>
        <w:numPr>
          <w:ilvl w:val="0"/>
          <w:numId w:val="1001"/>
        </w:numPr>
      </w:pPr>
      <w:r>
        <w:rPr>
          <w:b/>
          <w:bCs/>
        </w:rPr>
        <w:t xml:space="preserve">Jeremiah 31:31–34</w:t>
      </w:r>
      <w:r>
        <w:t xml:space="preserve"> </w:t>
      </w:r>
      <w:r>
        <w:t xml:space="preserve">— The New Covenant promise of a heart to know the LORD directly answers the diagnosis of Deuteronomy 29:4 — what Israel lacked (a given heart to understand) is precisely what the New Covenant provides. Chapter 29’s diagnosis anticipates the New Covenant remedy.</w:t>
      </w:r>
    </w:p>
    <w:p>
      <w:pPr>
        <w:numPr>
          <w:ilvl w:val="0"/>
          <w:numId w:val="1001"/>
        </w:numPr>
      </w:pPr>
      <w:r>
        <w:rPr>
          <w:b/>
          <w:bCs/>
        </w:rPr>
        <w:t xml:space="preserve">Matthew 13:13–17</w:t>
      </w:r>
      <w:r>
        <w:t xml:space="preserve"> </w:t>
      </w:r>
      <w:r>
        <w:t xml:space="preserve">— Jesus uses the same language of seeing without seeing and hearing without hearing, citing Isaiah 6 but standing in the same biblical pattern Deuteronomy 29 establishes. The spiritual dullness of covenant Israel is not a one-time historical failure but a recurring condition that only grace addresses.</w:t>
      </w:r>
    </w:p>
    <w:p>
      <w:pPr>
        <w:numPr>
          <w:ilvl w:val="0"/>
          <w:numId w:val="1001"/>
        </w:numPr>
      </w:pPr>
      <w:r>
        <w:rPr>
          <w:b/>
          <w:bCs/>
        </w:rPr>
        <w:t xml:space="preserve">Hebrews 3:7–4:2</w:t>
      </w:r>
      <w:r>
        <w:t xml:space="preserve"> </w:t>
      </w:r>
      <w:r>
        <w:t xml:space="preserve">— The warning against hardening one’s heart while possessing covenant identity echoes the diagnostic of Deuteronomy 29 directly. The author applies Israel’s failure in the wilderness as a living warning to the covenant community in every age: hearing the word and not mixing it with faith is the precise failure Moses identifies.</w:t>
      </w:r>
    </w:p>
    <w:p>
      <w:pPr>
        <w:numPr>
          <w:ilvl w:val="0"/>
          <w:numId w:val="1001"/>
        </w:numPr>
      </w:pPr>
      <w:r>
        <w:rPr>
          <w:b/>
          <w:bCs/>
        </w:rPr>
        <w:t xml:space="preserve">Revelation 22:18–19 / Deuteronomy 4:2</w:t>
      </w:r>
      <w:r>
        <w:t xml:space="preserve"> </w:t>
      </w:r>
      <w:r>
        <w:t xml:space="preserve">— The bookending principle of not adding to or taking from God’s revealed words frames the concern of Deuteronomy 29:29: the revealed things are sufficient, binding, and not to be supplemented by speculation about what God has not disclosed.</w:t>
      </w:r>
    </w:p>
    <w:p>
      <w:r>
        <w:pict>
          <v:rect style="width:0;height:1.5pt" o:hralign="center" o:hrstd="t" o:hr="t"/>
        </w:pict>
      </w:r>
    </w:p>
    <w:p>
      <w:pPr>
        <w:pStyle w:val="FirstParagraph"/>
      </w:pPr>
      <w:r>
        <w:rPr>
          <w:b/>
          <w:bCs/>
        </w:rPr>
        <w:t xml:space="preserve">Aim:</w:t>
      </w:r>
      <w:r>
        <w:t xml:space="preserve"> </w:t>
      </w:r>
      <w:r>
        <w:t xml:space="preserve">To press every reader — individually and communally — past presumptuous covenant confidence into genuine, clear-eyed covenant accountability, resting on what God has plainly revealed rather than on assumed safety.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29:1</w:t>
            </w:r>
          </w:p>
        </w:tc>
        <w:tc>
          <w:tcPr/>
          <w:p>
            <w:pPr>
              <w:pStyle w:val="Compact"/>
            </w:pPr>
            <w:r>
              <w:t xml:space="preserve">Superscription: this covenant at Moab is beside (not replacing) the Sinai covenant</w:t>
            </w:r>
          </w:p>
        </w:tc>
        <w:tc>
          <w:tcPr/>
          <w:p>
            <w:pPr>
              <w:pStyle w:val="Compact"/>
            </w:pPr>
            <w:r>
              <w:t xml:space="preserve">Sets the renewal frame; Israel has an accumulated covenant history</w:t>
            </w:r>
          </w:p>
        </w:tc>
      </w:tr>
      <w:tr>
        <w:tc>
          <w:tcPr/>
          <w:p>
            <w:pPr>
              <w:pStyle w:val="Compact"/>
            </w:pPr>
            <w:r>
              <w:t xml:space="preserve">29:2–4</w:t>
            </w:r>
          </w:p>
        </w:tc>
        <w:tc>
          <w:tcPr/>
          <w:p>
            <w:pPr>
              <w:pStyle w:val="Compact"/>
            </w:pPr>
            <w:r>
              <w:t xml:space="preserve">Moses rehearses the Exodus and wilderness — Israel saw everything but the LORD had not given them a heart to understand</w:t>
            </w:r>
          </w:p>
        </w:tc>
        <w:tc>
          <w:tcPr/>
          <w:p>
            <w:pPr>
              <w:pStyle w:val="Compact"/>
            </w:pPr>
            <w:r>
              <w:t xml:space="preserve">The great diagnostic: sight without perception; responsibility without capacity apart from divine gift</w:t>
            </w:r>
          </w:p>
        </w:tc>
      </w:tr>
      <w:tr>
        <w:tc>
          <w:tcPr/>
          <w:p>
            <w:pPr>
              <w:pStyle w:val="Compact"/>
            </w:pPr>
            <w:r>
              <w:t xml:space="preserve">29:5–6</w:t>
            </w:r>
          </w:p>
        </w:tc>
        <w:tc>
          <w:tcPr/>
          <w:p>
            <w:pPr>
              <w:pStyle w:val="Compact"/>
            </w:pPr>
            <w:r>
              <w:t xml:space="preserve">Wilderness provision — manna, water, no worn sandals — so that Israel might know the LORD</w:t>
            </w:r>
          </w:p>
        </w:tc>
        <w:tc>
          <w:tcPr/>
          <w:p>
            <w:pPr>
              <w:pStyle w:val="Compact"/>
            </w:pPr>
            <w:r>
              <w:t xml:space="preserve">The purpose of wilderness discipline is covenantal knowledge</w:t>
            </w:r>
          </w:p>
        </w:tc>
      </w:tr>
      <w:tr>
        <w:tc>
          <w:tcPr/>
          <w:p>
            <w:pPr>
              <w:pStyle w:val="Compact"/>
            </w:pPr>
            <w:r>
              <w:t xml:space="preserve">29:7–8</w:t>
            </w:r>
          </w:p>
        </w:tc>
        <w:tc>
          <w:tcPr/>
          <w:p>
            <w:pPr>
              <w:pStyle w:val="Compact"/>
            </w:pPr>
            <w:r>
              <w:t xml:space="preserve">Military victories over Sihon and Og — inheritance given east of Jordan</w:t>
            </w:r>
          </w:p>
        </w:tc>
        <w:tc>
          <w:tcPr/>
          <w:p>
            <w:pPr>
              <w:pStyle w:val="Compact"/>
            </w:pPr>
            <w:r>
              <w:t xml:space="preserve">Historical proof of God’s faithfulness already partially realized</w:t>
            </w:r>
          </w:p>
        </w:tc>
      </w:tr>
      <w:tr>
        <w:tc>
          <w:tcPr/>
          <w:p>
            <w:pPr>
              <w:pStyle w:val="Compact"/>
            </w:pPr>
            <w:r>
              <w:t xml:space="preserve">29:9</w:t>
            </w:r>
          </w:p>
        </w:tc>
        <w:tc>
          <w:tcPr/>
          <w:p>
            <w:pPr>
              <w:pStyle w:val="Compact"/>
            </w:pPr>
            <w:r>
              <w:t xml:space="preserve">Therefore: keep the covenant carefully so that you may prosper in all you do</w:t>
            </w:r>
          </w:p>
        </w:tc>
        <w:tc>
          <w:tcPr/>
          <w:p>
            <w:pPr>
              <w:pStyle w:val="Compact"/>
            </w:pPr>
            <w:r>
              <w:t xml:space="preserve">The pivot from rehearsal to summons</w:t>
            </w:r>
          </w:p>
        </w:tc>
      </w:tr>
      <w:tr>
        <w:tc>
          <w:tcPr/>
          <w:p>
            <w:pPr>
              <w:pStyle w:val="Compact"/>
            </w:pPr>
            <w:r>
              <w:t xml:space="preserve">29:10–13</w:t>
            </w:r>
          </w:p>
        </w:tc>
        <w:tc>
          <w:tcPr/>
          <w:p>
            <w:pPr>
              <w:pStyle w:val="Compact"/>
            </w:pPr>
            <w:r>
              <w:t xml:space="preserve">The assembly gathered in full — officials, elders, men, women, children, aliens — to enter the covenant by sworn oath</w:t>
            </w:r>
          </w:p>
        </w:tc>
        <w:tc>
          <w:tcPr/>
          <w:p>
            <w:pPr>
              <w:pStyle w:val="Compact"/>
            </w:pPr>
            <w:r>
              <w:t xml:space="preserve">Breadth of inclusion; covenant is communal and comprehensive</w:t>
            </w:r>
          </w:p>
        </w:tc>
      </w:tr>
      <w:tr>
        <w:tc>
          <w:tcPr/>
          <w:p>
            <w:pPr>
              <w:pStyle w:val="Compact"/>
            </w:pPr>
            <w:r>
              <w:t xml:space="preserve">29:14–15</w:t>
            </w:r>
          </w:p>
        </w:tc>
        <w:tc>
          <w:tcPr/>
          <w:p>
            <w:pPr>
              <w:pStyle w:val="Compact"/>
            </w:pPr>
            <w:r>
              <w:t xml:space="preserve">The covenant is not only with those present but with all future generations</w:t>
            </w:r>
          </w:p>
        </w:tc>
        <w:tc>
          <w:tcPr/>
          <w:p>
            <w:pPr>
              <w:pStyle w:val="Compact"/>
            </w:pPr>
            <w:r>
              <w:t xml:space="preserve">Covenant extends through time; no generation stands outside its claims</w:t>
            </w:r>
          </w:p>
        </w:tc>
      </w:tr>
      <w:tr>
        <w:tc>
          <w:tcPr/>
          <w:p>
            <w:pPr>
              <w:pStyle w:val="Compact"/>
            </w:pPr>
            <w:r>
              <w:t xml:space="preserve">29:16–17</w:t>
            </w:r>
          </w:p>
        </w:tc>
        <w:tc>
          <w:tcPr/>
          <w:p>
            <w:pPr>
              <w:pStyle w:val="Compact"/>
            </w:pPr>
            <w:r>
              <w:t xml:space="preserve">You have seen the idols of Egypt and the nations along the way</w:t>
            </w:r>
          </w:p>
        </w:tc>
        <w:tc>
          <w:tcPr/>
          <w:p>
            <w:pPr>
              <w:pStyle w:val="Compact"/>
            </w:pPr>
            <w:r>
              <w:t xml:space="preserve">Witnessing idolatry is the precondition for the warning that follows</w:t>
            </w:r>
          </w:p>
        </w:tc>
      </w:tr>
      <w:tr>
        <w:tc>
          <w:tcPr/>
          <w:p>
            <w:pPr>
              <w:pStyle w:val="Compact"/>
            </w:pPr>
            <w:r>
              <w:t xml:space="preserve">29:18–19</w:t>
            </w:r>
          </w:p>
        </w:tc>
        <w:tc>
          <w:tcPr/>
          <w:p>
            <w:pPr>
              <w:pStyle w:val="Compact"/>
            </w:pPr>
            <w:r>
              <w:t xml:space="preserve">Warning against the person who, hearing the covenant, assumes personal safety while harboring idolatry in the heart</w:t>
            </w:r>
          </w:p>
        </w:tc>
        <w:tc>
          <w:tcPr/>
          <w:p>
            <w:pPr>
              <w:pStyle w:val="Compact"/>
            </w:pPr>
            <w:r>
              <w:t xml:space="preserve">The presumptuous sinner: the most dangerous figure in a covenant community</w:t>
            </w:r>
          </w:p>
        </w:tc>
      </w:tr>
      <w:tr>
        <w:tc>
          <w:tcPr/>
          <w:p>
            <w:pPr>
              <w:pStyle w:val="Compact"/>
            </w:pPr>
            <w:r>
              <w:t xml:space="preserve">29:20–21</w:t>
            </w:r>
          </w:p>
        </w:tc>
        <w:tc>
          <w:tcPr/>
          <w:p>
            <w:pPr>
              <w:pStyle w:val="Compact"/>
            </w:pPr>
            <w:r>
              <w:t xml:space="preserve">The LORD will not forgive such a person — all covenant curses will fall; God will blot out his name</w:t>
            </w:r>
          </w:p>
        </w:tc>
        <w:tc>
          <w:tcPr/>
          <w:p>
            <w:pPr>
              <w:pStyle w:val="Compact"/>
            </w:pPr>
            <w:r>
              <w:t xml:space="preserve">Severity of covenant presumption; no diplomatic immunity from God within visible covenant</w:t>
            </w:r>
          </w:p>
        </w:tc>
      </w:tr>
      <w:tr>
        <w:tc>
          <w:tcPr/>
          <w:p>
            <w:pPr>
              <w:pStyle w:val="Compact"/>
            </w:pPr>
            <w:r>
              <w:t xml:space="preserve">29:22–28</w:t>
            </w:r>
          </w:p>
        </w:tc>
        <w:tc>
          <w:tcPr/>
          <w:p>
            <w:pPr>
              <w:pStyle w:val="Compact"/>
            </w:pPr>
            <w:r>
              <w:t xml:space="preserve">Future generations and foreign nations will see the devastation and ask why — the answer is covenant-breaking</w:t>
            </w:r>
          </w:p>
        </w:tc>
        <w:tc>
          <w:tcPr/>
          <w:p>
            <w:pPr>
              <w:pStyle w:val="Compact"/>
            </w:pPr>
            <w:r>
              <w:t xml:space="preserve">Covenant consequences are publicly legible; Israel’s judgment is a theological statement to the nations</w:t>
            </w:r>
          </w:p>
        </w:tc>
      </w:tr>
      <w:tr>
        <w:tc>
          <w:tcPr/>
          <w:p>
            <w:pPr>
              <w:pStyle w:val="Compact"/>
            </w:pPr>
            <w:r>
              <w:t xml:space="preserve">29:29</w:t>
            </w:r>
          </w:p>
        </w:tc>
        <w:tc>
          <w:tcPr/>
          <w:p>
            <w:pPr>
              <w:pStyle w:val="Compact"/>
            </w:pPr>
            <w:r>
              <w:t xml:space="preserve">“The secret things belong to the LORD; the revealed things belong to us and our children forever, that we may do all the words of this law”</w:t>
            </w:r>
          </w:p>
        </w:tc>
        <w:tc>
          <w:tcPr/>
          <w:p>
            <w:pPr>
              <w:pStyle w:val="Compact"/>
            </w:pPr>
            <w:r>
              <w:t xml:space="preserve">Climactic epistemological statement: redirect from speculation to obedience; sufficiency and bindingness of revealed Torah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29:1</w:t>
            </w:r>
          </w:p>
        </w:tc>
        <w:tc>
          <w:tcPr/>
          <w:p>
            <w:pPr>
              <w:pStyle w:val="Compact"/>
            </w:pPr>
            <w:r>
              <w:t xml:space="preserve">Covenant in Context: Moab Beside Sinai</w:t>
            </w:r>
          </w:p>
        </w:tc>
      </w:tr>
      <w:tr>
        <w:tc>
          <w:tcPr/>
          <w:p>
            <w:pPr>
              <w:pStyle w:val="Compact"/>
            </w:pPr>
            <w:r>
              <w:t xml:space="preserve">2</w:t>
            </w:r>
          </w:p>
        </w:tc>
        <w:tc>
          <w:tcPr/>
          <w:p>
            <w:pPr>
              <w:pStyle w:val="Compact"/>
            </w:pPr>
            <w:r>
              <w:t xml:space="preserve">29:2–9</w:t>
            </w:r>
          </w:p>
        </w:tc>
        <w:tc>
          <w:tcPr/>
          <w:p>
            <w:pPr>
              <w:pStyle w:val="Compact"/>
            </w:pPr>
            <w:r>
              <w:t xml:space="preserve">The Great Diagnosis: Sight Without Perception</w:t>
            </w:r>
          </w:p>
        </w:tc>
      </w:tr>
      <w:tr>
        <w:tc>
          <w:tcPr/>
          <w:p>
            <w:pPr>
              <w:pStyle w:val="Compact"/>
            </w:pPr>
            <w:r>
              <w:t xml:space="preserve">3</w:t>
            </w:r>
          </w:p>
        </w:tc>
        <w:tc>
          <w:tcPr/>
          <w:p>
            <w:pPr>
              <w:pStyle w:val="Compact"/>
            </w:pPr>
            <w:r>
              <w:t xml:space="preserve">29:10–15</w:t>
            </w:r>
          </w:p>
        </w:tc>
        <w:tc>
          <w:tcPr/>
          <w:p>
            <w:pPr>
              <w:pStyle w:val="Compact"/>
            </w:pPr>
            <w:r>
              <w:t xml:space="preserve">The Gathered Assembly: Full Inclusion, Transgenerational Scope</w:t>
            </w:r>
          </w:p>
        </w:tc>
      </w:tr>
      <w:tr>
        <w:tc>
          <w:tcPr/>
          <w:p>
            <w:pPr>
              <w:pStyle w:val="Compact"/>
            </w:pPr>
            <w:r>
              <w:t xml:space="preserve">4</w:t>
            </w:r>
          </w:p>
        </w:tc>
        <w:tc>
          <w:tcPr/>
          <w:p>
            <w:pPr>
              <w:pStyle w:val="Compact"/>
            </w:pPr>
            <w:r>
              <w:t xml:space="preserve">29:16–21</w:t>
            </w:r>
          </w:p>
        </w:tc>
        <w:tc>
          <w:tcPr/>
          <w:p>
            <w:pPr>
              <w:pStyle w:val="Compact"/>
            </w:pPr>
            <w:r>
              <w:t xml:space="preserve">The Most Dangerous Person in the Covenant Community</w:t>
            </w:r>
          </w:p>
        </w:tc>
      </w:tr>
      <w:tr>
        <w:tc>
          <w:tcPr/>
          <w:p>
            <w:pPr>
              <w:pStyle w:val="Compact"/>
            </w:pPr>
            <w:r>
              <w:t xml:space="preserve">5</w:t>
            </w:r>
          </w:p>
        </w:tc>
        <w:tc>
          <w:tcPr/>
          <w:p>
            <w:pPr>
              <w:pStyle w:val="Compact"/>
            </w:pPr>
            <w:r>
              <w:t xml:space="preserve">29:22–28</w:t>
            </w:r>
          </w:p>
        </w:tc>
        <w:tc>
          <w:tcPr/>
          <w:p>
            <w:pPr>
              <w:pStyle w:val="Compact"/>
            </w:pPr>
            <w:r>
              <w:t xml:space="preserve">Covenant Consequences as Public Theological Testimony</w:t>
            </w:r>
          </w:p>
        </w:tc>
      </w:tr>
      <w:tr>
        <w:tc>
          <w:tcPr/>
          <w:p>
            <w:pPr>
              <w:pStyle w:val="Compact"/>
            </w:pPr>
            <w:r>
              <w:t xml:space="preserve">6</w:t>
            </w:r>
          </w:p>
        </w:tc>
        <w:tc>
          <w:tcPr/>
          <w:p>
            <w:pPr>
              <w:pStyle w:val="Compact"/>
            </w:pPr>
            <w:r>
              <w:t xml:space="preserve">29:29</w:t>
            </w:r>
          </w:p>
        </w:tc>
        <w:tc>
          <w:tcPr/>
          <w:p>
            <w:pPr>
              <w:pStyle w:val="Compact"/>
            </w:pPr>
            <w:r>
              <w:t xml:space="preserve">The Settled Boundary: Revealed Things Sufficient, Secret Things God’s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renewal demands clear-eyed recognition of God’s acts, personal accountability, and the sufficiency of what He has revealed.</w:t>
      </w:r>
    </w:p>
    <w:p>
      <w:pPr>
        <w:pStyle w:val="BodyText"/>
      </w:pPr>
      <w:r>
        <w:rPr>
          <w:b/>
          <w:bCs/>
        </w:rPr>
        <w:t xml:space="preserve">Primary Claim:</w:t>
      </w:r>
      <w:r>
        <w:t xml:space="preserve"> </w:t>
      </w:r>
      <w:r>
        <w:t xml:space="preserve">God calls His covenant people to enter His covenant with eyes fully open — seeing what He has done, examining what they harbor within, and resting their obedience on what He has plainly revealed rather than hiding behind spiritual dullness or presumptuous assumptions of safety.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confidence in God’s covenant is genuine or presumptuous.</w:t>
      </w:r>
      <w:r>
        <w:t xml:space="preserve"> </w:t>
      </w:r>
      <w:r>
        <w:rPr>
          <w:i/>
          <w:iCs/>
        </w:rPr>
        <w:t xml:space="preserve">(Affections/Worship)</w:t>
      </w:r>
      <w:r>
        <w:t xml:space="preserve"> </w:t>
      </w:r>
      <w:r>
        <w:t xml:space="preserve">The person Moses describes in verses 18–19 is not an unbeliever who rejects the covenant outright — he is someone inside the covenant community, hearing the covenant’s words, who privately assumes he will be safe regardless of how he lives. This is the most dangerous spiritual posture possible, not because it is rare, but because it is natural to everyone who grows up in a church, who holds orthodox beliefs, who knows the right answers. The question this passage forces is not</w:t>
      </w:r>
      <w:r>
        <w:t xml:space="preserve"> </w:t>
      </w:r>
      <w:r>
        <w:t xml:space="preserve">“do you affirm covenant membership?”</w:t>
      </w:r>
      <w:r>
        <w:t xml:space="preserve"> </w:t>
      </w:r>
      <w:r>
        <w:t xml:space="preserve">but</w:t>
      </w:r>
      <w:r>
        <w:t xml:space="preserve"> </w:t>
      </w:r>
      <w:r>
        <w:t xml:space="preserve">“do you examine the actual direction of your heart?”</w:t>
      </w:r>
      <w:r>
        <w:t xml:space="preserve"> </w:t>
      </w:r>
      <w:r>
        <w:t xml:space="preserve">Sit with that question. The LORD searches for the person who blesses himself while walking in the stubbornness of his heart — and finds him.</w:t>
      </w:r>
    </w:p>
    <w:p>
      <w:pPr>
        <w:pStyle w:val="BodyText"/>
      </w:pPr>
      <w:r>
        <w:rPr>
          <w:b/>
          <w:bCs/>
        </w:rPr>
        <w:t xml:space="preserve">2. Let God’s past acts in your life become the ground of present faithfulness, not merely the content of past gratitude.</w:t>
      </w:r>
      <w:r>
        <w:t xml:space="preserve"> </w:t>
      </w:r>
      <w:r>
        <w:rPr>
          <w:i/>
          <w:iCs/>
        </w:rPr>
        <w:t xml:space="preserve">(Mind/Belief)</w:t>
      </w:r>
      <w:r>
        <w:t xml:space="preserve"> </w:t>
      </w:r>
      <w:r>
        <w:t xml:space="preserve">Moses rehearses the Exodus and wilderness not as a history lesson but as evidence that demands a verdict. The people had seen miraculous provision — bread from heaven, water from rock, sandals that did not wear out for forty years — and had not understood. The failure was not informational; they knew the facts. The failure was integrative: they had not allowed what they knew to reshape how they lived. The same failure is available to every person who has experienced God’s faithfulness and yet continues to live as though the next trial is beyond God’s competence. What has God done that you have seen but not yet integrated into the structure of your trust?</w:t>
      </w:r>
    </w:p>
    <w:p>
      <w:pPr>
        <w:pStyle w:val="BodyText"/>
      </w:pPr>
      <w:r>
        <w:rPr>
          <w:b/>
          <w:bCs/>
        </w:rPr>
        <w:t xml:space="preserve">3. Stop trying to resolve what God has not revealed and start obeying what He has.</w:t>
      </w:r>
      <w:r>
        <w:t xml:space="preserve"> </w:t>
      </w:r>
      <w:r>
        <w:rPr>
          <w:i/>
          <w:iCs/>
        </w:rPr>
        <w:t xml:space="preserve">(Will/Behavior)</w:t>
      </w:r>
      <w:r>
        <w:t xml:space="preserve"> </w:t>
      </w:r>
      <w:r>
        <w:t xml:space="preserve">Verse 29 is one of the most clarifying statements in all of Scripture, and also one of the most consistently misused. It is not permission to stop asking hard questions. It is a redirection: the energy spent trying to unlock God’s secret counsels — why He ordained this suffering, what He intends in that geopolitical catastrophe, whether His sovereign plan accounts for this particular grief — is energy diverted from the thing He has actually given us to do:</w:t>
      </w:r>
      <w:r>
        <w:t xml:space="preserve"> </w:t>
      </w:r>
      <w:r>
        <w:t xml:space="preserve">“that we may do all the words of this law.”</w:t>
      </w:r>
      <w:r>
        <w:t xml:space="preserve"> </w:t>
      </w:r>
      <w:r>
        <w:t xml:space="preserve">Identify one area where theological speculation or unanswered questions has become a functional excuse for disobedience to something God has plainly commanded, and redirect there.</w:t>
      </w:r>
    </w:p>
    <w:p>
      <w:pPr>
        <w:pStyle w:val="BodyText"/>
      </w:pPr>
      <w:r>
        <w:rPr>
          <w:b/>
          <w:bCs/>
        </w:rPr>
        <w:t xml:space="preserve">4. Recognize that spiritual perception is a gift to be received, not a capacity to be developed.</w:t>
      </w:r>
      <w:r>
        <w:t xml:space="preserve"> </w:t>
      </w:r>
      <w:r>
        <w:rPr>
          <w:i/>
          <w:iCs/>
        </w:rPr>
        <w:t xml:space="preserve">(Mind/Belief)</w:t>
      </w:r>
      <w:r>
        <w:t xml:space="preserve"> </w:t>
      </w:r>
      <w:r>
        <w:t xml:space="preserve">Moses’s statement in verse 4 —</w:t>
      </w:r>
      <w:r>
        <w:t xml:space="preserve"> </w:t>
      </w:r>
      <w:r>
        <w:t xml:space="preserve">“the LORD has not given you a heart to understand or eyes to see or ears to hear”</w:t>
      </w:r>
      <w:r>
        <w:t xml:space="preserve"> </w:t>
      </w:r>
      <w:r>
        <w:t xml:space="preserve">— is not a complaint but a diagnosis, and it is a diagnosis that points beyond Israel to every human being apart from grace. No one comes to genuine covenant understanding through accumulated religious experience or moral effort. The Exodus generation had more direct experience of God’s acts than any subsequent generation and remained spiritually dull. This should produce in the reader a deep humility about their own spiritual perception — recognizing that whatever they see, they see by gift — and a regular return to prayer for the opened eye, the given heart, the ear that actually hears.</w:t>
      </w:r>
    </w:p>
    <w:p>
      <w:pPr>
        <w:pStyle w:val="BodyText"/>
      </w:pPr>
      <w:r>
        <w:rPr>
          <w:b/>
          <w:bCs/>
        </w:rPr>
        <w:t xml:space="preserve">5. Bear your witness to the watching world through covenant faithfulness, not merely through proclamation.</w:t>
      </w:r>
      <w:r>
        <w:t xml:space="preserve"> </w:t>
      </w:r>
      <w:r>
        <w:rPr>
          <w:i/>
          <w:iCs/>
        </w:rPr>
        <w:t xml:space="preserve">(Will/Behavior)</w:t>
      </w:r>
      <w:r>
        <w:t xml:space="preserve"> </w:t>
      </w:r>
      <w:r>
        <w:t xml:space="preserve">Verses 22–28 present a sobering picture: the nations look at devastated Israel and ask why, and the answer they receive is a public theological statement about covenant-breaking. The inverse is equally true: a covenant community that walks in genuine faithfulness becomes a publicly legible testimony to the reality and character of God. The church’s witness is not only verbal. How a congregation handles money, conflict, suffering, and the vulnerable in its midst is itself a theological statement to the surrounding community. What is the community you belong to currently saying about God through the visible shape of its life together?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29 teaches that God is the author of covenantal history, the giver of spiritual perception, and the sovereign Lord over both covenant blessing and covenant curse. The passage makes unmistakably clear that God’s past acts of provision and deliverance create genuine accountability — sight without understanding is not an excuse but a symptom of the deepest human need. More strikingly, God is shown to be the one who reveals selectively and purposively: He gives the law as sufficient ground for obedience while retaining the counsel of His own will as His sovereign possession. This is not arbitrary concealment but ordered revelation — God has given exactly what His people need in order to be faithful, and withholds exactly what they do not need in order to be faithful. The character of God displayed here is sovereign, generous, serious, and long-suffering — the same God who provides manna is the God who will not forgive the presumptuous self-deceiver, and both attributes belong to the same holy, covenanting Lord.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exegetically foundational for the Reformed understanding of total depravity and the necessity of regenerating grace. Verse 4’s assertion that spiritual perception is a divine gift — not a human achievement — grounds the Reformed insistence that the problem of sin is not merely behavioral but noetic: the fall has darkened the understanding such that no amount of religious experience, moral formation, or theological information will produce genuine covenantal knowledge apart from the gift of the Spirit. Paul’s use of this verse in Romans 11 confirms this reading at the canonical level. At the same time, Deuteronomy 29 resists any reading of divine sovereignty that evacuates human accountability — Moses indicts Israel with full force precisely because they are responsible for what they have seen and not responded to. The Reformed doctrine of divine sovereignty and human responsibility is not a tension to be resolved by emphasizing one at the expense of the other; Deuteronomy 29 holds both with a grip that neither Arminian nor hyper-Calvinist readings can loosen without distorting the text. Finally, verse 29 is a classic locus for the Reformed doctrine of the sufficiency of Scripture — the revealed things are sufficient for the obedience God requires, which means neither speculative theology about what God has not disclosed nor extracanonical revelation is necessary for faithfulness.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given you everything you need in order to be faithful — the record of His acts, the plain words of His law, and the call to enter His covenant with your eyes open. The question this chapter will not let you avoid is whether you are walking in genuine covenant faithfulness or in the far more comfortable and far more dangerous position of the person who hears the words, assumes the safety, and nurses a private idolatry. The secret things are God’s. The revealed things are yours — not to admire, but to do.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 29 as a conversation-stopper rather than a redirection.</w:t>
      </w:r>
      <w:r>
        <w:t xml:space="preserve"> </w:t>
      </w:r>
      <w:r>
        <w:t xml:space="preserve">The famous closing verse of this chapter is regularly invoked to end theological discussion —</w:t>
      </w:r>
      <w:r>
        <w:t xml:space="preserve"> </w:t>
      </w:r>
      <w:r>
        <w:t xml:space="preserve">“we just can’t know, because the secret things belong to God.”</w:t>
      </w:r>
      <w:r>
        <w:t xml:space="preserve"> </w:t>
      </w:r>
      <w:r>
        <w:t xml:space="preserve">This misreads the verse entirely. Moses is not silencing curiosity; he is redirecting energy. The point is not that unanswerable questions are off-limits but that they are not the thing God has given us to do. A sermon that uses v. 29 to produce theological passivity has precisely inverted its intent. The verse is a call to active obedience grounded in revealed truth, not a call to stop thinking.</w:t>
      </w:r>
    </w:p>
    <w:p>
      <w:pPr>
        <w:numPr>
          <w:ilvl w:val="0"/>
          <w:numId w:val="1002"/>
        </w:numPr>
      </w:pPr>
      <w:r>
        <w:rPr>
          <w:b/>
          <w:bCs/>
        </w:rPr>
        <w:t xml:space="preserve">Preaching verse 4 without holding the tension between divine sovereignty and human responsibility.</w:t>
      </w:r>
      <w:r>
        <w:t xml:space="preserve"> </w:t>
      </w:r>
      <w:r>
        <w:t xml:space="preserve">It is exegetically dishonest to soften v. 4 into a statement about Israel’s</w:t>
      </w:r>
      <w:r>
        <w:t xml:space="preserve"> </w:t>
      </w:r>
      <w:r>
        <w:rPr>
          <w:i/>
          <w:iCs/>
        </w:rPr>
        <w:t xml:space="preserve">chosen</w:t>
      </w:r>
      <w:r>
        <w:t xml:space="preserve"> </w:t>
      </w:r>
      <w:r>
        <w:t xml:space="preserve">failure while ignoring its plain assertion that spiritual understanding is a divine gift. Equally, it is pastorally irresponsible to so emphasize divine sovereignty in v. 4 that the indictments of vv. 2–9 lose their force. Moses holds both — fully responsible Israel, genuinely spiritually dull Israel, Israel whose perception is a divine gift — without resolving the tension. The preacher must do the same.</w:t>
      </w:r>
    </w:p>
    <w:p>
      <w:pPr>
        <w:numPr>
          <w:ilvl w:val="0"/>
          <w:numId w:val="1002"/>
        </w:numPr>
      </w:pPr>
      <w:r>
        <w:rPr>
          <w:b/>
          <w:bCs/>
        </w:rPr>
        <w:t xml:space="preserve">Reducing the passage to a history lesson about ancient Israel.</w:t>
      </w:r>
      <w:r>
        <w:t xml:space="preserve"> </w:t>
      </w:r>
      <w:r>
        <w:t xml:space="preserve">The temptation in preaching Deuteronomy is to treat it as a record of what God did then for them, safely distant from the congregation. But Moses explicitly extends the covenant to future generations (vv. 14–15) and Paul explicitly applies Israel’s dullness to the present age (Romans 11:8). The passage’s own logic requires that its indictments and calls are live claims on every covenant community. Preach it to the present room, not to a historical exhibit.</w:t>
      </w:r>
    </w:p>
    <w:p>
      <w:pPr>
        <w:numPr>
          <w:ilvl w:val="0"/>
          <w:numId w:val="1002"/>
        </w:numPr>
      </w:pPr>
      <w:r>
        <w:rPr>
          <w:b/>
          <w:bCs/>
        </w:rPr>
        <w:t xml:space="preserve">Missing the Fallen Condition Focus embedded in verses 2–4.</w:t>
      </w:r>
      <w:r>
        <w:t xml:space="preserve"> </w:t>
      </w:r>
      <w:r>
        <w:t xml:space="preserve">The diagnosis of spiritual dullness — sight without perception — is not merely Israel’s problem. It is the universal human condition apart from grace. A sermon that treats vv. 2–4 as evidence of Israel’s uniquely bad spiritual track record will miss the passage’s deeper claim:</w:t>
      </w:r>
      <w:r>
        <w:t xml:space="preserve"> </w:t>
      </w:r>
      <w:r>
        <w:rPr>
          <w:i/>
          <w:iCs/>
        </w:rPr>
        <w:t xml:space="preserve">this is what all of us are apart from the gift of understanding.</w:t>
      </w:r>
      <w:r>
        <w:t xml:space="preserve"> </w:t>
      </w:r>
      <w:r>
        <w:t xml:space="preserve">The FCF here is profound and should drive the sermon toward explicit dependence on the Spirit’s illuminating work.</w:t>
      </w:r>
    </w:p>
    <w:p>
      <w:pPr>
        <w:numPr>
          <w:ilvl w:val="0"/>
          <w:numId w:val="1002"/>
        </w:numPr>
      </w:pPr>
      <w:r>
        <w:rPr>
          <w:b/>
          <w:bCs/>
        </w:rPr>
        <w:t xml:space="preserve">Preaching the warning of verses 18–21 without identifying who the warning actually targets.</w:t>
      </w:r>
      <w:r>
        <w:t xml:space="preserve"> </w:t>
      </w:r>
      <w:r>
        <w:t xml:space="preserve">The temptation is to read vv. 18–21 either as a threat to all believers (producing false anxiety) or as entirely irrelevant to the congregation (because</w:t>
      </w:r>
      <w:r>
        <w:t xml:space="preserve"> </w:t>
      </w:r>
      <w:r>
        <w:t xml:space="preserve">“we would never do that”</w:t>
      </w:r>
      <w:r>
        <w:t xml:space="preserve">). The passage targets a very specific posture: assumed covenant safety combined with privately harbored idolatry. The preacher’s job is to make this figure recognizable — not as a monster but as a temptation that inhabits religious communities in ordinary and mundane forms. What does it look like to bless yourself in your heart while walking in the stubbornness of your heart in a twenty-first century congregation? Name it specifically.</w:t>
      </w:r>
    </w:p>
    <w:p>
      <w:pPr>
        <w:numPr>
          <w:ilvl w:val="0"/>
          <w:numId w:val="1002"/>
        </w:numPr>
      </w:pPr>
      <w:r>
        <w:rPr>
          <w:b/>
          <w:bCs/>
        </w:rPr>
        <w:t xml:space="preserve">Failing to connect the covenant renewal context to Christ’s fulfillment.</w:t>
      </w:r>
      <w:r>
        <w:t xml:space="preserve"> </w:t>
      </w:r>
      <w:r>
        <w:t xml:space="preserve">Deuteronomy 29’s diagnosis (spiritual dullness, covenantal failure, the curse that follows covenant-breaking) cannot be preached faithfully without at least pointing toward Jeremiah 31’s New Covenant answer and its fulfillment in Christ. Christ bore the covenant curse (Galatians 3:13) so that the covenant blessing might reach the nations; the Spirit provides the given heart that Deuteronomy 29:4 identifies as the diagnostic gap. A sermon that ends at Deuteronomy 29’s diagnosis without at least pointing toward its resolution in the gospel has preached half a sermon — accurately, but incompletely.</w:t>
      </w:r>
    </w:p>
    <w:p>
      <w:r>
        <w:pict>
          <v:rect style="width:0;height:1.5pt" o:hralign="center" o:hrstd="t" o:hr="t"/>
        </w:pict>
      </w:r>
    </w:p>
    <w:p>
      <w:pPr>
        <w:pStyle w:val="FirstParagraph"/>
      </w:pPr>
      <w:r>
        <w:rPr>
          <w:i/>
          <w:iCs/>
        </w:rPr>
        <w:t xml:space="preserve">Document: 05 Deuteronomy 29.docx | Framework: CLAUDE2.md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2026-07-14T21:02:10Z</dcterms:created>
  <dcterms:modified xsi:type="dcterms:W3CDTF">2026-07-14T21:02:10Z</dcterms:modified>
</cp:coreProperties>
</file>

<file path=docProps/custom.xml><?xml version="1.0" encoding="utf-8"?>
<Properties xmlns="http://schemas.openxmlformats.org/officeDocument/2006/custom-properties" xmlns:vt="http://schemas.openxmlformats.org/officeDocument/2006/docPropsVTypes"/>
</file>